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iClay 61M Technical Data Sheet (English Version)</w:t>
      </w:r>
    </w:p>
    <w:p>
      <w:r>
        <w:t>Lightweight Oil Clay</w:t>
        <w:br/>
        <w:t>iClay 61M</w:t>
      </w:r>
    </w:p>
    <w:p>
      <w:r>
        <w:t>Product Description:</w:t>
      </w:r>
    </w:p>
    <w:p>
      <w:r>
        <w:t>iClay 61M is an oil-based modeling material made by blending various lubricating waxes, oils and fillers. It is widely used in the industrial design development stage for 3D styling design and model making of small automobiles, motorcycles, household appliances and other products. Different proportions can be used to verify and modify the visual effects of design renderings under real conditions.</w:t>
      </w:r>
    </w:p>
    <w:p>
      <w:r>
        <w:t>Main Features:</w:t>
      </w:r>
    </w:p>
    <w:p>
      <w:r>
        <w:t>• Medium hardness.</w:t>
        <w:br/>
        <w:t>• Softens after heating and is easy to apply.</w:t>
        <w:br/>
        <w:t>• Long processing window: after softening, the clay maintains good shape retention. The application operation time can reach 30 minutes, providing sufficient time for complex surfaces and large-area applications.</w:t>
        <w:br/>
        <w:t>• Low cutting resistance and easy shaping.</w:t>
        <w:br/>
        <w:t>• Low shrinkage with no significant property changes after long-term storage.</w:t>
        <w:br/>
        <w:t>• Can be recycled and reused multiple times, reducing costs.</w:t>
      </w:r>
    </w:p>
    <w:tbl>
      <w:tblPr>
        <w:tblStyle w:val="TableGrid"/>
        <w:tblW w:type="auto" w:w="0"/>
        <w:tblLook w:firstColumn="1" w:firstRow="1" w:lastColumn="0" w:lastRow="0" w:noHBand="0" w:noVBand="1" w:val="04A0"/>
      </w:tblPr>
      <w:tblGrid>
        <w:gridCol w:w="2880"/>
        <w:gridCol w:w="2880"/>
        <w:gridCol w:w="2880"/>
      </w:tblGrid>
      <w:tr>
        <w:tc>
          <w:tcPr>
            <w:tcW w:type="dxa" w:w="2880"/>
          </w:tcPr>
          <w:p>
            <w:r>
              <w:t>Property</w:t>
            </w:r>
          </w:p>
        </w:tc>
        <w:tc>
          <w:tcPr>
            <w:tcW w:type="dxa" w:w="2880"/>
          </w:tcPr>
          <w:p>
            <w:r>
              <w:t>Test Method</w:t>
            </w:r>
          </w:p>
        </w:tc>
        <w:tc>
          <w:tcPr>
            <w:tcW w:type="dxa" w:w="2880"/>
          </w:tcPr>
          <w:p>
            <w:r>
              <w:t>Specification</w:t>
            </w:r>
          </w:p>
        </w:tc>
      </w:tr>
      <w:tr>
        <w:tc>
          <w:tcPr>
            <w:tcW w:type="dxa" w:w="2880"/>
          </w:tcPr>
          <w:p>
            <w:r>
              <w:t>Appearance</w:t>
            </w:r>
          </w:p>
        </w:tc>
        <w:tc>
          <w:tcPr>
            <w:tcW w:type="dxa" w:w="2880"/>
          </w:tcPr>
          <w:p>
            <w:r>
              <w:t>Visual inspection</w:t>
            </w:r>
          </w:p>
        </w:tc>
        <w:tc>
          <w:tcPr>
            <w:tcW w:type="dxa" w:w="2880"/>
          </w:tcPr>
          <w:p>
            <w:r>
              <w:t>Uniform color, fine texture, no particles</w:t>
            </w:r>
          </w:p>
        </w:tc>
      </w:tr>
      <w:tr>
        <w:tc>
          <w:tcPr>
            <w:tcW w:type="dxa" w:w="2880"/>
          </w:tcPr>
          <w:p>
            <w:r>
              <w:t>Color</w:t>
            </w:r>
          </w:p>
        </w:tc>
        <w:tc>
          <w:tcPr>
            <w:tcW w:type="dxa" w:w="2880"/>
          </w:tcPr>
          <w:p>
            <w:r>
              <w:t>Visual inspection</w:t>
            </w:r>
          </w:p>
        </w:tc>
        <w:tc>
          <w:tcPr>
            <w:tcW w:type="dxa" w:w="2880"/>
          </w:tcPr>
          <w:p>
            <w:r>
              <w:t>Yellow-brown</w:t>
            </w:r>
          </w:p>
        </w:tc>
      </w:tr>
      <w:tr>
        <w:tc>
          <w:tcPr>
            <w:tcW w:type="dxa" w:w="2880"/>
          </w:tcPr>
          <w:p>
            <w:r>
              <w:t>Density (g/cm³)</w:t>
            </w:r>
          </w:p>
        </w:tc>
        <w:tc>
          <w:tcPr>
            <w:tcW w:type="dxa" w:w="2880"/>
          </w:tcPr>
          <w:p>
            <w:r>
              <w:t>GB 4472-84</w:t>
            </w:r>
          </w:p>
        </w:tc>
        <w:tc>
          <w:tcPr>
            <w:tcW w:type="dxa" w:w="2880"/>
          </w:tcPr>
          <w:p>
            <w:r>
              <w:t>≤1.1</w:t>
            </w:r>
          </w:p>
        </w:tc>
      </w:tr>
      <w:tr>
        <w:tc>
          <w:tcPr>
            <w:tcW w:type="dxa" w:w="2880"/>
          </w:tcPr>
          <w:p>
            <w:r>
              <w:t>Hardness (23°C)</w:t>
            </w:r>
          </w:p>
        </w:tc>
        <w:tc>
          <w:tcPr>
            <w:tcW w:type="dxa" w:w="2880"/>
          </w:tcPr>
          <w:p>
            <w:r>
              <w:t>Shore C</w:t>
            </w:r>
          </w:p>
        </w:tc>
        <w:tc>
          <w:tcPr>
            <w:tcW w:type="dxa" w:w="2880"/>
          </w:tcPr>
          <w:p>
            <w:r>
              <w:t>75-85</w:t>
            </w:r>
          </w:p>
        </w:tc>
      </w:tr>
      <w:tr>
        <w:tc>
          <w:tcPr>
            <w:tcW w:type="dxa" w:w="2880"/>
          </w:tcPr>
          <w:p>
            <w:r>
              <w:t>Hardness (60°C)</w:t>
            </w:r>
          </w:p>
        </w:tc>
        <w:tc>
          <w:tcPr>
            <w:tcW w:type="dxa" w:w="2880"/>
          </w:tcPr>
          <w:p>
            <w:r>
              <w:t>Shore C</w:t>
            </w:r>
          </w:p>
        </w:tc>
        <w:tc>
          <w:tcPr>
            <w:tcW w:type="dxa" w:w="2880"/>
          </w:tcPr>
          <w:p>
            <w:r>
              <w:t>0</w:t>
            </w:r>
          </w:p>
        </w:tc>
      </w:tr>
      <w:tr>
        <w:tc>
          <w:tcPr>
            <w:tcW w:type="dxa" w:w="2880"/>
          </w:tcPr>
          <w:p>
            <w:r>
              <w:t>Hardness after cooling (23°C/60 min)</w:t>
            </w:r>
          </w:p>
        </w:tc>
        <w:tc>
          <w:tcPr>
            <w:tcW w:type="dxa" w:w="2880"/>
          </w:tcPr>
          <w:p>
            <w:r>
              <w:t>Shore C</w:t>
            </w:r>
          </w:p>
        </w:tc>
        <w:tc>
          <w:tcPr>
            <w:tcW w:type="dxa" w:w="2880"/>
          </w:tcPr>
          <w:p>
            <w:r>
              <w:t>60-75</w:t>
            </w:r>
          </w:p>
        </w:tc>
      </w:tr>
      <w:tr>
        <w:tc>
          <w:tcPr>
            <w:tcW w:type="dxa" w:w="2880"/>
          </w:tcPr>
          <w:p>
            <w:r>
              <w:t>Linear shrinkage (0-60°C)</w:t>
            </w:r>
          </w:p>
        </w:tc>
        <w:tc>
          <w:tcPr>
            <w:tcW w:type="dxa" w:w="2880"/>
          </w:tcPr>
          <w:p>
            <w:r/>
          </w:p>
        </w:tc>
        <w:tc>
          <w:tcPr>
            <w:tcW w:type="dxa" w:w="2880"/>
          </w:tcPr>
          <w:p>
            <w:r>
              <w:t>≤2.8×10⁻⁴ K⁻¹</w:t>
            </w:r>
          </w:p>
        </w:tc>
      </w:tr>
      <w:tr>
        <w:tc>
          <w:tcPr>
            <w:tcW w:type="dxa" w:w="2880"/>
          </w:tcPr>
          <w:p>
            <w:r>
              <w:t>Shelf life (0-30°C)</w:t>
            </w:r>
          </w:p>
        </w:tc>
        <w:tc>
          <w:tcPr>
            <w:tcW w:type="dxa" w:w="2880"/>
          </w:tcPr>
          <w:p>
            <w:r/>
          </w:p>
        </w:tc>
        <w:tc>
          <w:tcPr>
            <w:tcW w:type="dxa" w:w="2880"/>
          </w:tcPr>
          <w:p>
            <w:r>
              <w:t>2 years</w:t>
            </w:r>
          </w:p>
        </w:tc>
      </w:tr>
      <w:tr>
        <w:tc>
          <w:tcPr>
            <w:tcW w:type="dxa" w:w="2880"/>
          </w:tcPr>
          <w:p>
            <w:r>
              <w:t>Solubility</w:t>
            </w:r>
          </w:p>
        </w:tc>
        <w:tc>
          <w:tcPr>
            <w:tcW w:type="dxa" w:w="2880"/>
          </w:tcPr>
          <w:p>
            <w:r/>
          </w:p>
        </w:tc>
        <w:tc>
          <w:tcPr>
            <w:tcW w:type="dxa" w:w="2880"/>
          </w:tcPr>
          <w:p>
            <w:r>
              <w:t>Insoluble in water; partially soluble in organic solvents</w:t>
            </w:r>
          </w:p>
        </w:tc>
      </w:tr>
    </w:tbl>
    <w:p>
      <w:r>
        <w:t>Hardness-Temperature Curve:</w:t>
      </w:r>
    </w:p>
    <w:p>
      <w:r>
        <w:t>A cylindrical sample was heated in a 60°C oven for 2 hours and then placed in a 23°C room-temperature environment.</w:t>
      </w:r>
    </w:p>
    <w:p>
      <w:r>
        <w:t>Product Name: Oil Clay iClay 61M</w:t>
        <w:br/>
        <w:t>RT hardness: Shore C 78</w:t>
        <w:br/>
        <w:t>60°C hardness: Shore C 0</w:t>
        <w:br/>
        <w:t>Hardness after cooling at 23°C for 60 min: Shore C 63</w:t>
      </w:r>
    </w:p>
    <w:p>
      <w:r>
        <w:t>Processing:</w:t>
      </w:r>
    </w:p>
    <w:p>
      <w:r>
        <w:t>Before use, iClay 61M generally needs to be heated using an oil clay heater. The recommended heating temperature is approximately 55-60°C. After heating for 1-3 hours, the clay becomes soft and can be applied onto the prepared core. After cooling, use oil clay scraping tools for cutting, followed by precision finishing according to design requirements.</w:t>
      </w:r>
    </w:p>
    <w:p>
      <w:r>
        <w:t>After removal from the oven, iClay 61M gradually hardens. During production, it is recommended to take only the required amount each time.</w:t>
      </w:r>
    </w:p>
    <w:p>
      <w:r>
        <w:t>Packaging:</w:t>
      </w:r>
    </w:p>
    <w:p>
      <w:r>
        <w:t>Size: Length 270(±0.5) mm × Diameter 55 mm</w:t>
        <w:br/>
        <w:t>Packing: 15 rods/box</w:t>
      </w:r>
    </w:p>
    <w:p>
      <w:r>
        <w:t>Storage:</w:t>
      </w:r>
    </w:p>
    <w:p>
      <w:r>
        <w:t>Store in a dry and cool place away from heat sources, direct sunlight and rain. Do not place on the side or stack heavy objects on the product. Storage temperature: 10-25°C; relative humidity: 0%-50%.</w:t>
      </w:r>
    </w:p>
    <w:p>
      <w:r>
        <w:t>Safety Precautions:</w:t>
      </w:r>
    </w:p>
    <w:p>
      <w:r>
        <w:t>Do not heat oil clay above 60°C. At high temperatures, the material easily adheres to skin, especially in molten condition, so avoid burns. Keep away from fire sources. Do not place other combustible materials during heating. Refer to the Material Safety Data Sheet for details.</w:t>
      </w:r>
    </w:p>
    <w:p>
      <w:r>
        <w:t>Notes:</w:t>
      </w:r>
    </w:p>
    <w:p>
      <w:r>
        <w:t>All data were measured under specific conditions. Due to differences in actual processing conditions and other factors, customers are advised to conduct necessary performance tests before use to confirm suitability. We guarantee that the product meets our quality specifications.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